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6" w:rsidRDefault="00CF54B6" w:rsidP="00CF54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Повестка</w:t>
      </w:r>
    </w:p>
    <w:p w:rsidR="00CF54B6" w:rsidRDefault="00CF54B6" w:rsidP="00CF54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  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</w:p>
    <w:p w:rsidR="00CF54B6" w:rsidRDefault="00CF54B6" w:rsidP="00CF54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6 декабря 2018 года в 11.00</w:t>
      </w:r>
    </w:p>
    <w:p w:rsidR="00CF54B6" w:rsidRDefault="00CF54B6" w:rsidP="00CF54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     О роли регионального оператора в работе по обращению с твердыми коммунальными отходами (сбор, переработка, утилизация) в новых условиях.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</w:t>
      </w:r>
      <w:r>
        <w:rPr>
          <w:rStyle w:val="a4"/>
          <w:rFonts w:ascii="Times" w:hAnsi="Times" w:cs="Times"/>
          <w:color w:val="222222"/>
          <w:sz w:val="21"/>
          <w:szCs w:val="21"/>
        </w:rPr>
        <w:t>Лунев Альберт Анатольевич</w:t>
      </w:r>
      <w:r>
        <w:rPr>
          <w:rFonts w:ascii="Times" w:hAnsi="Times" w:cs="Times"/>
          <w:color w:val="222222"/>
          <w:sz w:val="21"/>
          <w:szCs w:val="21"/>
        </w:rPr>
        <w:t> - председатель комитета Алтайского краевого Законодательного Собрания по экономической политике, промышленности и предпринимательству.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 Об опыте работы органов местного самоуправления в сфере обращения с биологическими отходами и уменьшения их негативного воздействия на окружающую среду, животных и здоровье населения Алтайского края.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</w:t>
      </w:r>
      <w:r>
        <w:rPr>
          <w:rStyle w:val="a4"/>
          <w:rFonts w:ascii="Times" w:hAnsi="Times" w:cs="Times"/>
          <w:color w:val="222222"/>
          <w:sz w:val="21"/>
          <w:szCs w:val="21"/>
        </w:rPr>
        <w:t>Серов Сергей Николаевич</w:t>
      </w:r>
      <w:r>
        <w:rPr>
          <w:rFonts w:ascii="Times" w:hAnsi="Times" w:cs="Times"/>
          <w:color w:val="222222"/>
          <w:sz w:val="21"/>
          <w:szCs w:val="21"/>
        </w:rPr>
        <w:t> - заместитель председателя Алтайского краевого Законодательного Собрания - председатель комитета по аграрной политике и природопользованию.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     Об организации предоставления в электронной форме государственных и муниципальных услуг.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</w:t>
      </w:r>
      <w:r>
        <w:rPr>
          <w:rStyle w:val="a4"/>
          <w:rFonts w:ascii="Times" w:hAnsi="Times" w:cs="Times"/>
          <w:color w:val="222222"/>
          <w:sz w:val="21"/>
          <w:szCs w:val="21"/>
        </w:rPr>
        <w:t>Лунев Альберт Анатольевич</w:t>
      </w:r>
      <w:r>
        <w:rPr>
          <w:rFonts w:ascii="Times" w:hAnsi="Times" w:cs="Times"/>
          <w:color w:val="222222"/>
          <w:sz w:val="21"/>
          <w:szCs w:val="21"/>
        </w:rPr>
        <w:t> - председатель комитета Алтайского краевого Законодательного Собрания по экономической политике, промышленности и предпринимательству.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     О внесении изменений в постановление Алтайского краевого Законодательного Собрания от 04.10.2010 № 457 «Об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образований».</w:t>
      </w:r>
    </w:p>
    <w:p w:rsidR="00CF54B6" w:rsidRDefault="00CF54B6" w:rsidP="00CF54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Докладывает: </w:t>
      </w:r>
      <w:r>
        <w:rPr>
          <w:rStyle w:val="a4"/>
          <w:rFonts w:ascii="Times" w:hAnsi="Times" w:cs="Times"/>
          <w:color w:val="222222"/>
          <w:sz w:val="21"/>
          <w:szCs w:val="21"/>
        </w:rPr>
        <w:t>Трофимов Борис Александрович</w:t>
      </w:r>
      <w:r>
        <w:rPr>
          <w:rFonts w:ascii="Times" w:hAnsi="Times" w:cs="Times"/>
          <w:color w:val="222222"/>
          <w:sz w:val="21"/>
          <w:szCs w:val="21"/>
        </w:rPr>
        <w:t> - председатель комитета Алтайского краевого Законодательного Собрания по местному самоуправлению.</w:t>
      </w:r>
    </w:p>
    <w:p w:rsidR="003861B1" w:rsidRDefault="003861B1">
      <w:bookmarkStart w:id="0" w:name="_GoBack"/>
      <w:bookmarkEnd w:id="0"/>
    </w:p>
    <w:sectPr w:rsidR="0038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6"/>
    <w:rsid w:val="003861B1"/>
    <w:rsid w:val="00C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EB2E-3D36-4092-89FC-135BB25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2022-08-15T10:48:00Z</dcterms:created>
  <dcterms:modified xsi:type="dcterms:W3CDTF">2022-08-15T10:48:00Z</dcterms:modified>
</cp:coreProperties>
</file>